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6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"/>
        <w:gridCol w:w="9050"/>
        <w:gridCol w:w="166"/>
      </w:tblGrid>
      <w:tr>
        <w:trPr>
          <w:trHeight w:val="113" w:hRule="atLeast"/>
        </w:trPr>
        <w:tc>
          <w:tcPr>
            <w:tcW w:w="153" w:type="dxa"/>
            <w:tcBorders/>
          </w:tcPr>
          <w:p>
            <w:pPr>
              <w:pStyle w:val="EmptyLayoutCel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050" w:type="dxa"/>
            <w:tcBorders/>
          </w:tcPr>
          <w:p>
            <w:pPr>
              <w:pStyle w:val="EmptyLayoutCel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6" w:type="dxa"/>
            <w:tcBorders/>
          </w:tcPr>
          <w:p>
            <w:pPr>
              <w:pStyle w:val="EmptyLayoutCel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0410" w:hRule="atLeast"/>
        </w:trPr>
        <w:tc>
          <w:tcPr>
            <w:tcW w:w="153" w:type="dxa"/>
            <w:tcBorders/>
          </w:tcPr>
          <w:p>
            <w:pPr>
              <w:pStyle w:val="EmptyLayoutCel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050" w:type="dxa"/>
            <w:tcBorders/>
          </w:tcPr>
          <w:tbl>
            <w:tblPr>
              <w:tblW w:w="9050" w:type="dxa"/>
              <w:jc w:val="left"/>
              <w:tblInd w:w="0" w:type="dxa"/>
              <w:tblLayout w:type="fixed"/>
              <w:tblCellMar>
                <w:top w:w="39" w:type="dxa"/>
                <w:left w:w="39" w:type="dxa"/>
                <w:bottom w:w="39" w:type="dxa"/>
                <w:right w:w="39" w:type="dxa"/>
              </w:tblCellMar>
            </w:tblPr>
            <w:tblGrid>
              <w:gridCol w:w="9050"/>
            </w:tblGrid>
            <w:tr>
              <w:trPr>
                <w:trHeight w:val="10332" w:hRule="atLeast"/>
              </w:trPr>
              <w:tc>
                <w:tcPr>
                  <w:tcW w:w="9050" w:type="dxa"/>
                  <w:tcBorders/>
                </w:tcPr>
                <w:p>
                  <w:pPr>
                    <w:pStyle w:val="Normal"/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eastAsia="Arial" w:cs="Arial" w:ascii="Arial" w:hAnsi="Arial"/>
                      <w:b/>
                      <w:color w:val="000000"/>
                      <w:sz w:val="24"/>
                      <w:lang w:val="ru-RU"/>
                    </w:rPr>
                    <w:t>Научный сотрудник в подразделение «проектно-учебная лаборатория "Развитие университетов"» (Программа российских постдоков)</w:t>
                  </w:r>
                </w:p>
                <w:p>
                  <w:pPr>
                    <w:pStyle w:val="Normal"/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</w:r>
                </w:p>
                <w:p>
                  <w:pPr>
                    <w:pStyle w:val="Normal"/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24"/>
                      <w:lang w:val="ru-RU"/>
                    </w:rPr>
                    <w:t xml:space="preserve">от 110 000 рублей до вычета НДФЛ </w:t>
                  </w:r>
                </w:p>
                <w:p>
                  <w:pPr>
                    <w:pStyle w:val="Normal"/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24"/>
                      <w:lang w:val="ru-RU"/>
                    </w:rPr>
                    <w:t>Национальный исследовательский университет «Высшая школа экономики»</w:t>
                  </w:r>
                </w:p>
                <w:p>
                  <w:pPr>
                    <w:pStyle w:val="Normal"/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24"/>
                      <w:lang w:val="ru-RU"/>
                    </w:rPr>
                    <w:t>Москва</w:t>
                  </w:r>
                </w:p>
                <w:p>
                  <w:pPr>
                    <w:pStyle w:val="Normal"/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24"/>
                    </w:rPr>
                    <w:t> </w:t>
                  </w:r>
                </w:p>
                <w:p>
                  <w:pPr>
                    <w:pStyle w:val="Normal"/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24"/>
                      <w:lang w:val="ru-RU"/>
                    </w:rPr>
                    <w:t>Требуемый опыт работы: не менее 3-х лет</w:t>
                  </w:r>
                </w:p>
                <w:p>
                  <w:pPr>
                    <w:pStyle w:val="Normal"/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24"/>
                      <w:lang w:val="ru-RU"/>
                    </w:rPr>
                    <w:t>Полная занятость, полный день</w:t>
                  </w:r>
                </w:p>
                <w:p>
                  <w:pPr>
                    <w:pStyle w:val="Normal"/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24"/>
                      <w:lang w:val="ru-RU"/>
                    </w:rPr>
                    <w:t>Срок работы: 1 год с возможностью продления на второй</w:t>
                  </w:r>
                </w:p>
                <w:p>
                  <w:pPr>
                    <w:pStyle w:val="Normal"/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24"/>
                    </w:rPr>
                    <w:t> </w:t>
                  </w:r>
                </w:p>
                <w:p>
                  <w:pPr>
                    <w:pStyle w:val="Normal"/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24"/>
                      <w:lang w:val="ru-RU"/>
                    </w:rPr>
                    <w:t xml:space="preserve">Мы, </w:t>
                  </w:r>
                  <w:r>
                    <w:rPr>
                      <w:rFonts w:eastAsia="Arial" w:cs="Arial" w:ascii="Arial" w:hAnsi="Arial"/>
                      <w:b/>
                      <w:color w:val="000000"/>
                      <w:sz w:val="24"/>
                      <w:lang w:val="ru-RU"/>
                    </w:rPr>
                    <w:t>Высшая школа экономики</w:t>
                  </w:r>
                  <w:r>
                    <w:rPr>
                      <w:rFonts w:eastAsia="Arial" w:cs="Arial" w:ascii="Arial" w:hAnsi="Arial"/>
                      <w:color w:val="000000"/>
                      <w:sz w:val="24"/>
                      <w:lang w:val="ru-RU"/>
                    </w:rPr>
                    <w:t xml:space="preserve"> – один из крупнейших университетов России, ведущий центр образования, научных исследований и разработок. Сегодня в Вышке учится более 47 000 студентов и аспирантов, работает более 7000 преподавателей, ученых и административных сотрудников.</w:t>
                  </w:r>
                </w:p>
                <w:p>
                  <w:pPr>
                    <w:pStyle w:val="Normal"/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</w:r>
                </w:p>
                <w:p>
                  <w:pPr>
                    <w:pStyle w:val="Normal"/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24"/>
                      <w:lang w:val="ru-RU"/>
                    </w:rPr>
                    <w:t xml:space="preserve">В настоящее время у нас открыт конкурс Программы привлечения российских постдоков. В рамках конкурса открыта вакансия </w:t>
                  </w:r>
                  <w:r>
                    <w:rPr>
                      <w:rFonts w:eastAsia="Arial" w:cs="Arial" w:ascii="Arial" w:hAnsi="Arial"/>
                      <w:b/>
                      <w:color w:val="000000"/>
                      <w:sz w:val="24"/>
                      <w:lang w:val="ru-RU"/>
                    </w:rPr>
                    <w:t>постдока (научного сотрудника) в подразделение «проектно-учебная лаборатория "Развитие университетов"».</w:t>
                  </w:r>
                </w:p>
                <w:p>
                  <w:pPr>
                    <w:pStyle w:val="Normal"/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</w:r>
                </w:p>
                <w:p>
                  <w:pPr>
                    <w:pStyle w:val="Normal"/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eastAsia="Arial" w:cs="Arial" w:ascii="Arial" w:hAnsi="Arial"/>
                      <w:b/>
                      <w:color w:val="000000"/>
                      <w:sz w:val="24"/>
                      <w:lang w:val="ru-RU"/>
                    </w:rPr>
                    <w:t>Название проекта</w:t>
                  </w:r>
                  <w:r>
                    <w:rPr>
                      <w:rFonts w:eastAsia="Arial" w:cs="Arial" w:ascii="Arial" w:hAnsi="Arial"/>
                      <w:color w:val="000000"/>
                      <w:sz w:val="24"/>
                      <w:lang w:val="ru-RU"/>
                    </w:rPr>
                    <w:t xml:space="preserve">: Большие данные в анализе образовательной миграции молодежи на основе цифровых следов. </w:t>
                  </w:r>
                </w:p>
                <w:p>
                  <w:pPr>
                    <w:pStyle w:val="Normal"/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</w:r>
                </w:p>
                <w:p>
                  <w:pPr>
                    <w:pStyle w:val="Normal"/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eastAsia="Arial" w:cs="Arial" w:ascii="Arial" w:hAnsi="Arial"/>
                      <w:b/>
                      <w:color w:val="000000"/>
                      <w:sz w:val="24"/>
                      <w:lang w:val="ru-RU"/>
                    </w:rPr>
                    <w:t xml:space="preserve">Цель проекта: </w:t>
                  </w:r>
                  <w:r>
                    <w:rPr>
                      <w:rFonts w:eastAsia="Arial" w:cs="Arial" w:ascii="Arial" w:hAnsi="Arial"/>
                      <w:color w:val="000000"/>
                      <w:sz w:val="24"/>
                      <w:lang w:val="ru-RU"/>
                    </w:rPr>
                    <w:t>Анализ образовательной миграции в России, ее направлений и характеристик на основе данных цифровых следов выпускников, а также анализ цифрового поведения образовательных мигрантов в социальных сетях.</w:t>
                  </w:r>
                </w:p>
                <w:p>
                  <w:pPr>
                    <w:pStyle w:val="Normal"/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</w:r>
                </w:p>
                <w:p>
                  <w:pPr>
                    <w:pStyle w:val="Normal"/>
                    <w:jc w:val="both"/>
                    <w:rPr>
                      <w:color w:val="000000"/>
                    </w:rPr>
                  </w:pPr>
                  <w:r>
                    <w:rPr>
                      <w:rFonts w:eastAsia="Arial" w:cs="Arial" w:ascii="Arial" w:hAnsi="Arial"/>
                      <w:b/>
                      <w:color w:val="000000"/>
                      <w:sz w:val="24"/>
                    </w:rPr>
                    <w:t xml:space="preserve">Задачи в рамках проекта: </w:t>
                  </w:r>
                </w:p>
                <w:p>
                  <w:pPr>
                    <w:pStyle w:val="Normal"/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24"/>
                      <w:lang w:val="ru-RU"/>
                    </w:rPr>
                    <w:t>Изучение образовательной миграции в России является одним из ключевых направлений исследований лаборатории. Масштабность миграционных процессов, в том числе образовательной миграции, а также динамичное развитие цифровых технологий и социальных сетей, заставляют переосмыслить традиционные подходы и устойчивые модели анализа. Исследования уже показывают, как новые источники данных позволяют сформировать расширенное и актуальное представление в том числе о миграционных, образовательных процессах.</w:t>
                  </w:r>
                </w:p>
                <w:p>
                  <w:pPr>
                    <w:pStyle w:val="Normal"/>
                    <w:jc w:val="both"/>
                    <w:rPr>
                      <w:rFonts w:ascii="Arial" w:hAnsi="Arial" w:eastAsia="Arial" w:cs="Arial"/>
                      <w:color w:val="000000"/>
                      <w:sz w:val="24"/>
                      <w:lang w:val="ru-RU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24"/>
                      <w:lang w:val="ru-RU"/>
                    </w:rPr>
                  </w:r>
                </w:p>
                <w:p>
                  <w:pPr>
                    <w:pStyle w:val="Normal"/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24"/>
                      <w:lang w:val="ru-RU"/>
                    </w:rPr>
                    <w:t>Данный проект предполагает работу с данными о цифровых следах выпускников и образовательных мигрантов в социальных сетях и направлен на решение следующих исследовательских задач:</w:t>
                  </w:r>
                </w:p>
                <w:p>
                  <w:pPr>
                    <w:pStyle w:val="Normal"/>
                    <w:numPr>
                      <w:ilvl w:val="0"/>
                      <w:numId w:val="1"/>
                    </w:numPr>
                    <w:ind w:left="720" w:hanging="360"/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24"/>
                      <w:lang w:val="ru-RU"/>
                    </w:rPr>
                    <w:t>анализ направлений и масштабов образовательной миграции в России на основе цифровых следов выпускников в социальных сетях;</w:t>
                  </w:r>
                </w:p>
                <w:p>
                  <w:pPr>
                    <w:pStyle w:val="Normal"/>
                    <w:numPr>
                      <w:ilvl w:val="0"/>
                      <w:numId w:val="1"/>
                    </w:numPr>
                    <w:ind w:left="720" w:hanging="360"/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24"/>
                      <w:lang w:val="ru-RU"/>
                    </w:rPr>
                    <w:t>анализ содержательных характеристик цифрового поведения образовательных мигрантов в социальных сетях;</w:t>
                  </w:r>
                </w:p>
                <w:p>
                  <w:pPr>
                    <w:pStyle w:val="Normal"/>
                    <w:numPr>
                      <w:ilvl w:val="0"/>
                      <w:numId w:val="1"/>
                    </w:numPr>
                    <w:ind w:left="720" w:hanging="360"/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24"/>
                      <w:lang w:val="ru-RU"/>
                    </w:rPr>
                    <w:t>анализ востребованности официальных и неофициальных страниц вузов для выпускников и образовательных мигрантов;</w:t>
                  </w:r>
                </w:p>
                <w:p>
                  <w:pPr>
                    <w:pStyle w:val="Normal"/>
                    <w:numPr>
                      <w:ilvl w:val="0"/>
                      <w:numId w:val="1"/>
                    </w:numPr>
                    <w:ind w:left="720" w:hanging="360"/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24"/>
                      <w:lang w:val="ru-RU"/>
                    </w:rPr>
                    <w:t>анализ содержательных и эмоциональных характеристик образовательной миграции в представлениях пользователей социальных сетей.</w:t>
                  </w:r>
                </w:p>
                <w:p>
                  <w:pPr>
                    <w:pStyle w:val="Normal"/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</w:r>
                </w:p>
                <w:p>
                  <w:pPr>
                    <w:pStyle w:val="Normal"/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eastAsia="Arial" w:cs="Arial" w:ascii="Arial" w:hAnsi="Arial"/>
                      <w:b/>
                      <w:color w:val="000000"/>
                      <w:sz w:val="24"/>
                      <w:lang w:val="ru-RU"/>
                    </w:rPr>
                    <w:t>Что мы ждем от успешных кандидатов на данную должность:</w:t>
                  </w:r>
                </w:p>
                <w:p>
                  <w:pPr>
                    <w:pStyle w:val="Normal"/>
                    <w:numPr>
                      <w:ilvl w:val="0"/>
                      <w:numId w:val="2"/>
                    </w:numPr>
                    <w:ind w:left="720" w:hanging="360"/>
                    <w:jc w:val="both"/>
                    <w:rPr>
                      <w:color w:val="000000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24"/>
                    </w:rPr>
                    <w:t>Российское гражданство;</w:t>
                  </w:r>
                </w:p>
                <w:p>
                  <w:pPr>
                    <w:pStyle w:val="Normal"/>
                    <w:numPr>
                      <w:ilvl w:val="0"/>
                      <w:numId w:val="2"/>
                    </w:numPr>
                    <w:ind w:left="720" w:hanging="360"/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24"/>
                      <w:lang w:val="ru-RU"/>
                    </w:rPr>
                    <w:t xml:space="preserve">Ученая степень (Ученая степень кандидата наук, успешная защита кандидатской диссертации, степень </w:t>
                  </w:r>
                  <w:r>
                    <w:rPr>
                      <w:rFonts w:eastAsia="Arial" w:cs="Arial" w:ascii="Arial" w:hAnsi="Arial"/>
                      <w:color w:val="000000"/>
                      <w:sz w:val="24"/>
                    </w:rPr>
                    <w:t>PhD</w:t>
                  </w:r>
                  <w:r>
                    <w:rPr>
                      <w:rFonts w:eastAsia="Arial" w:cs="Arial" w:ascii="Arial" w:hAnsi="Arial"/>
                      <w:color w:val="000000"/>
                      <w:sz w:val="24"/>
                      <w:lang w:val="ru-RU"/>
                    </w:rPr>
                    <w:t>);</w:t>
                  </w:r>
                </w:p>
                <w:p>
                  <w:pPr>
                    <w:pStyle w:val="Normal"/>
                    <w:numPr>
                      <w:ilvl w:val="0"/>
                      <w:numId w:val="2"/>
                    </w:numPr>
                    <w:ind w:left="720" w:hanging="360"/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24"/>
                      <w:lang w:val="ru-RU"/>
                    </w:rPr>
                    <w:t xml:space="preserve">Наличие публикаций по теме образовательной миграции молодежи. </w:t>
                  </w:r>
                </w:p>
                <w:p>
                  <w:pPr>
                    <w:pStyle w:val="Normal"/>
                    <w:ind w:left="359" w:hanging="359"/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</w:r>
                </w:p>
                <w:p>
                  <w:pPr>
                    <w:pStyle w:val="Normal"/>
                    <w:jc w:val="both"/>
                    <w:rPr>
                      <w:color w:val="000000"/>
                    </w:rPr>
                  </w:pPr>
                  <w:r>
                    <w:rPr>
                      <w:rFonts w:eastAsia="Arial" w:cs="Arial" w:ascii="Arial" w:hAnsi="Arial"/>
                      <w:b/>
                      <w:color w:val="000000"/>
                      <w:sz w:val="24"/>
                    </w:rPr>
                    <w:t>Что мы предлагаем:</w:t>
                  </w:r>
                </w:p>
                <w:p>
                  <w:pPr>
                    <w:pStyle w:val="Normal"/>
                    <w:numPr>
                      <w:ilvl w:val="0"/>
                      <w:numId w:val="3"/>
                    </w:numPr>
                    <w:ind w:left="720" w:hanging="360"/>
                    <w:jc w:val="both"/>
                    <w:rPr>
                      <w:color w:val="000000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24"/>
                    </w:rPr>
                    <w:t>Работа в историческом центре Москвы</w:t>
                  </w:r>
                </w:p>
                <w:p>
                  <w:pPr>
                    <w:pStyle w:val="Normal"/>
                    <w:numPr>
                      <w:ilvl w:val="0"/>
                      <w:numId w:val="3"/>
                    </w:numPr>
                    <w:ind w:left="720" w:hanging="360"/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24"/>
                      <w:lang w:val="ru-RU"/>
                    </w:rPr>
                    <w:t>Наличие оборудованного рабочего места в университете</w:t>
                  </w:r>
                </w:p>
                <w:p>
                  <w:pPr>
                    <w:pStyle w:val="Normal"/>
                    <w:numPr>
                      <w:ilvl w:val="0"/>
                      <w:numId w:val="3"/>
                    </w:numPr>
                    <w:ind w:left="720" w:hanging="360"/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24"/>
                      <w:lang w:val="ru-RU"/>
                    </w:rPr>
                    <w:t>Доступ к информационным ресурсам, базам данных и электронным подпискам НИУ ВШЭ</w:t>
                  </w:r>
                </w:p>
                <w:p>
                  <w:pPr>
                    <w:pStyle w:val="Normal"/>
                    <w:numPr>
                      <w:ilvl w:val="0"/>
                      <w:numId w:val="3"/>
                    </w:numPr>
                    <w:ind w:left="720" w:hanging="360"/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24"/>
                      <w:lang w:val="ru-RU"/>
                    </w:rPr>
                    <w:t>Участие в научных и образовательных мероприятиях и программах НИУ ВШЭ для научного продвижения и развития карьеры</w:t>
                  </w:r>
                </w:p>
                <w:p>
                  <w:pPr>
                    <w:pStyle w:val="Normal"/>
                    <w:numPr>
                      <w:ilvl w:val="0"/>
                      <w:numId w:val="3"/>
                    </w:numPr>
                    <w:ind w:left="720" w:hanging="360"/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24"/>
                      <w:lang w:val="ru-RU"/>
                    </w:rPr>
                    <w:t>Работа с известными специалистами в предметной области в международном и междисциплинарном исследовательском коллективе</w:t>
                  </w:r>
                </w:p>
                <w:p>
                  <w:pPr>
                    <w:pStyle w:val="Normal"/>
                    <w:numPr>
                      <w:ilvl w:val="0"/>
                      <w:numId w:val="3"/>
                    </w:numPr>
                    <w:ind w:left="720" w:hanging="360"/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24"/>
                      <w:lang w:val="ru-RU"/>
                    </w:rPr>
                    <w:t>Участие в программах академической мобильности и повышения квалификации НИУ ВШЭ</w:t>
                  </w:r>
                </w:p>
              </w:tc>
            </w:tr>
          </w:tbl>
          <w:p>
            <w:pPr>
              <w:pStyle w:val="Normal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</w:p>
        </w:tc>
        <w:tc>
          <w:tcPr>
            <w:tcW w:w="166" w:type="dxa"/>
            <w:tcBorders/>
          </w:tcPr>
          <w:p>
            <w:pPr>
              <w:pStyle w:val="EmptyLayoutCell"/>
              <w:snapToGrid w:val="false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</w:p>
        </w:tc>
      </w:tr>
      <w:tr>
        <w:trPr>
          <w:trHeight w:val="306" w:hRule="atLeast"/>
        </w:trPr>
        <w:tc>
          <w:tcPr>
            <w:tcW w:w="153" w:type="dxa"/>
            <w:tcBorders/>
          </w:tcPr>
          <w:p>
            <w:pPr>
              <w:pStyle w:val="EmptyLayoutCell"/>
              <w:snapToGrid w:val="false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</w:p>
        </w:tc>
        <w:tc>
          <w:tcPr>
            <w:tcW w:w="9050" w:type="dxa"/>
            <w:tcBorders/>
          </w:tcPr>
          <w:p>
            <w:pPr>
              <w:pStyle w:val="EmptyLayoutCell"/>
              <w:snapToGrid w:val="false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</w:p>
        </w:tc>
        <w:tc>
          <w:tcPr>
            <w:tcW w:w="166" w:type="dxa"/>
            <w:tcBorders/>
          </w:tcPr>
          <w:p>
            <w:pPr>
              <w:pStyle w:val="EmptyLayoutCell"/>
              <w:snapToGrid w:val="false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</w:p>
        </w:tc>
      </w:tr>
    </w:tbl>
    <w:p>
      <w:pPr>
        <w:pStyle w:val="Normal"/>
        <w:jc w:val="both"/>
        <w:rPr>
          <w:color w:val="000000"/>
          <w:lang w:val="ru-RU"/>
        </w:rPr>
      </w:pPr>
      <w:r>
        <w:rPr>
          <w:color w:val="000000"/>
          <w:lang w:val="ru-RU"/>
        </w:rPr>
      </w:r>
    </w:p>
    <w:sectPr>
      <w:type w:val="nextPage"/>
      <w:pgSz w:w="11906" w:h="16838"/>
      <w:pgMar w:left="1133" w:right="1133" w:gutter="0" w:header="0" w:top="1133" w:footer="0" w:bottom="113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Symbol">
    <w:charset w:val="02"/>
    <w:family w:val="decorative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0"/>
        </w:tabs>
        <w:ind w:left="0" w:hanging="0"/>
      </w:pPr>
      <w:rPr>
        <w:sz w:val="20"/>
        <w:rFonts w:ascii="Arial" w:hAnsi="Arial" w:eastAsia="Arial" w:cs="Arial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0" w:hanging="0"/>
      </w:pPr>
      <w:rPr>
        <w:sz w:val="20"/>
        <w:rFonts w:ascii="Arial" w:hAnsi="Arial" w:eastAsia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sz w:val="20"/>
        <w:rFonts w:ascii="Arial" w:hAnsi="Arial" w:eastAsia="Arial" w:cs="Arial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0" w:hanging="0"/>
      </w:pPr>
      <w:rPr>
        <w:sz w:val="20"/>
        <w:rFonts w:ascii="Arial" w:hAnsi="Arial" w:eastAsia="Arial" w:cs="Arial"/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left="0" w:hanging="0"/>
      </w:pPr>
      <w:rPr>
        <w:sz w:val="20"/>
        <w:rFonts w:ascii="Arial" w:hAnsi="Arial" w:eastAsia="Arial" w:cs="Aria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sz w:val="20"/>
        <w:rFonts w:ascii="Arial" w:hAnsi="Arial" w:eastAsia="Arial" w:cs="Arial"/>
      </w:rPr>
    </w:lvl>
    <w:lvl w:ilvl="7">
      <w:start w:val="1"/>
      <w:numFmt w:val="lowerRoman"/>
      <w:lvlText w:val="%8."/>
      <w:lvlJc w:val="left"/>
      <w:pPr>
        <w:tabs>
          <w:tab w:val="num" w:pos="0"/>
        </w:tabs>
        <w:ind w:left="0" w:hanging="0"/>
      </w:pPr>
      <w:rPr>
        <w:sz w:val="20"/>
        <w:rFonts w:ascii="Arial" w:hAnsi="Arial" w:eastAsia="Arial" w:cs="Arial"/>
      </w:rPr>
    </w:lvl>
    <w:lvl w:ilvl="8">
      <w:start w:val="1"/>
      <w:numFmt w:val="lowerLetter"/>
      <w:lvlText w:val="%9."/>
      <w:lvlJc w:val="left"/>
      <w:pPr>
        <w:tabs>
          <w:tab w:val="num" w:pos="0"/>
        </w:tabs>
        <w:ind w:left="0" w:hanging="0"/>
      </w:pPr>
      <w:rPr>
        <w:sz w:val="20"/>
        <w:rFonts w:ascii="Arial" w:hAnsi="Arial" w:eastAsia="Arial" w:cs="Arial"/>
      </w:rPr>
    </w:lvl>
  </w:abstractNum>
  <w:abstractNum w:abstractNumId="2">
    <w:lvl w:ilvl="0">
      <w:start w:val="1"/>
      <w:numFmt w:val="bullet"/>
      <w:lvlText w:val="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0"/>
        </w:tabs>
        <w:ind w:left="0" w:hanging="0"/>
      </w:pPr>
      <w:rPr>
        <w:sz w:val="20"/>
        <w:rFonts w:ascii="Arial" w:hAnsi="Arial" w:eastAsia="Arial" w:cs="Arial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0" w:hanging="0"/>
      </w:pPr>
      <w:rPr>
        <w:sz w:val="20"/>
        <w:rFonts w:ascii="Arial" w:hAnsi="Arial" w:eastAsia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sz w:val="20"/>
        <w:rFonts w:ascii="Arial" w:hAnsi="Arial" w:eastAsia="Arial" w:cs="Arial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0" w:hanging="0"/>
      </w:pPr>
      <w:rPr>
        <w:sz w:val="20"/>
        <w:rFonts w:ascii="Arial" w:hAnsi="Arial" w:eastAsia="Arial" w:cs="Arial"/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left="0" w:hanging="0"/>
      </w:pPr>
      <w:rPr>
        <w:sz w:val="20"/>
        <w:rFonts w:ascii="Arial" w:hAnsi="Arial" w:eastAsia="Arial" w:cs="Aria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sz w:val="20"/>
        <w:rFonts w:ascii="Arial" w:hAnsi="Arial" w:eastAsia="Arial" w:cs="Arial"/>
      </w:rPr>
    </w:lvl>
    <w:lvl w:ilvl="7">
      <w:start w:val="1"/>
      <w:numFmt w:val="lowerRoman"/>
      <w:lvlText w:val="%8."/>
      <w:lvlJc w:val="left"/>
      <w:pPr>
        <w:tabs>
          <w:tab w:val="num" w:pos="0"/>
        </w:tabs>
        <w:ind w:left="0" w:hanging="0"/>
      </w:pPr>
      <w:rPr>
        <w:sz w:val="20"/>
        <w:rFonts w:ascii="Arial" w:hAnsi="Arial" w:eastAsia="Arial" w:cs="Arial"/>
      </w:rPr>
    </w:lvl>
    <w:lvl w:ilvl="8">
      <w:start w:val="1"/>
      <w:numFmt w:val="lowerLetter"/>
      <w:lvlText w:val="%9."/>
      <w:lvlJc w:val="left"/>
      <w:pPr>
        <w:tabs>
          <w:tab w:val="num" w:pos="0"/>
        </w:tabs>
        <w:ind w:left="0" w:hanging="0"/>
      </w:pPr>
      <w:rPr>
        <w:sz w:val="20"/>
        <w:rFonts w:ascii="Arial" w:hAnsi="Arial" w:eastAsia="Arial" w:cs="Arial"/>
      </w:rPr>
    </w:lvl>
  </w:abstractNum>
  <w:abstractNum w:abstractNumId="3">
    <w:lvl w:ilvl="0">
      <w:start w:val="1"/>
      <w:numFmt w:val="bullet"/>
      <w:lvlText w:val="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0"/>
        </w:tabs>
        <w:ind w:left="0" w:hanging="0"/>
      </w:pPr>
      <w:rPr>
        <w:sz w:val="20"/>
        <w:rFonts w:ascii="Arial" w:hAnsi="Arial" w:eastAsia="Arial" w:cs="Arial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0" w:hanging="0"/>
      </w:pPr>
      <w:rPr>
        <w:sz w:val="20"/>
        <w:rFonts w:ascii="Arial" w:hAnsi="Arial" w:eastAsia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sz w:val="20"/>
        <w:rFonts w:ascii="Arial" w:hAnsi="Arial" w:eastAsia="Arial" w:cs="Arial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0" w:hanging="0"/>
      </w:pPr>
      <w:rPr>
        <w:sz w:val="20"/>
        <w:rFonts w:ascii="Arial" w:hAnsi="Arial" w:eastAsia="Arial" w:cs="Arial"/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left="0" w:hanging="0"/>
      </w:pPr>
      <w:rPr>
        <w:sz w:val="20"/>
        <w:rFonts w:ascii="Arial" w:hAnsi="Arial" w:eastAsia="Arial" w:cs="Aria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sz w:val="20"/>
        <w:rFonts w:ascii="Arial" w:hAnsi="Arial" w:eastAsia="Arial" w:cs="Arial"/>
      </w:rPr>
    </w:lvl>
    <w:lvl w:ilvl="7">
      <w:start w:val="1"/>
      <w:numFmt w:val="lowerRoman"/>
      <w:lvlText w:val="%8."/>
      <w:lvlJc w:val="left"/>
      <w:pPr>
        <w:tabs>
          <w:tab w:val="num" w:pos="0"/>
        </w:tabs>
        <w:ind w:left="0" w:hanging="0"/>
      </w:pPr>
      <w:rPr>
        <w:sz w:val="20"/>
        <w:rFonts w:ascii="Arial" w:hAnsi="Arial" w:eastAsia="Arial" w:cs="Arial"/>
      </w:rPr>
    </w:lvl>
    <w:lvl w:ilvl="8">
      <w:start w:val="1"/>
      <w:numFmt w:val="lowerLetter"/>
      <w:lvlText w:val="%9."/>
      <w:lvlJc w:val="left"/>
      <w:pPr>
        <w:tabs>
          <w:tab w:val="num" w:pos="0"/>
        </w:tabs>
        <w:ind w:left="0" w:hanging="0"/>
      </w:pPr>
      <w:rPr>
        <w:sz w:val="20"/>
        <w:rFonts w:ascii="Arial" w:hAnsi="Arial" w:eastAsia="Arial" w:cs="Aria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2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en-US" w:bidi="ar-SA" w:eastAsia="zh-CN"/>
    </w:rPr>
  </w:style>
  <w:style w:type="character" w:styleId="WW8Num1z0">
    <w:name w:val="WW8Num1z0"/>
    <w:qFormat/>
    <w:rPr>
      <w:rFonts w:ascii="Symbol" w:hAnsi="Symbol" w:eastAsia="Symbol" w:cs="Symbol"/>
      <w:sz w:val="20"/>
    </w:rPr>
  </w:style>
  <w:style w:type="character" w:styleId="WW8Num1z1">
    <w:name w:val="WW8Num1z1"/>
    <w:qFormat/>
    <w:rPr>
      <w:rFonts w:ascii="Arial" w:hAnsi="Arial" w:eastAsia="Arial" w:cs="Arial"/>
      <w:sz w:val="20"/>
    </w:rPr>
  </w:style>
  <w:style w:type="character" w:styleId="WW8Num2z0">
    <w:name w:val="WW8Num2z0"/>
    <w:qFormat/>
    <w:rPr>
      <w:rFonts w:ascii="Symbol" w:hAnsi="Symbol" w:eastAsia="Symbol" w:cs="Symbol"/>
      <w:sz w:val="20"/>
    </w:rPr>
  </w:style>
  <w:style w:type="character" w:styleId="WW8Num2z1">
    <w:name w:val="WW8Num2z1"/>
    <w:qFormat/>
    <w:rPr>
      <w:rFonts w:ascii="Arial" w:hAnsi="Arial" w:eastAsia="Arial" w:cs="Arial"/>
      <w:sz w:val="20"/>
    </w:rPr>
  </w:style>
  <w:style w:type="character" w:styleId="WW8Num3z0">
    <w:name w:val="WW8Num3z0"/>
    <w:qFormat/>
    <w:rPr>
      <w:rFonts w:ascii="Symbol" w:hAnsi="Symbol" w:eastAsia="Symbol" w:cs="Symbol"/>
      <w:sz w:val="20"/>
    </w:rPr>
  </w:style>
  <w:style w:type="character" w:styleId="WW8Num3z1">
    <w:name w:val="WW8Num3z1"/>
    <w:qFormat/>
    <w:rPr>
      <w:rFonts w:ascii="Arial" w:hAnsi="Arial" w:eastAsia="Arial" w:cs="Arial"/>
      <w:sz w:val="20"/>
    </w:rPr>
  </w:style>
  <w:style w:type="character" w:styleId="Style14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EmptyLayoutCell">
    <w:name w:val="EmptyLayoutCell"/>
    <w:basedOn w:val="Normal"/>
    <w:qFormat/>
    <w:pPr/>
    <w:rPr>
      <w:sz w:val="2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LibreOffice/7.4.6.2$Linux_X86_64 LibreOffice_project/40$Build-2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2024-03-19T11:23:00Z</dcterms:created>
  <dc:creator>Туренко Кристина Армановна</dc:creator>
  <dc:description/>
  <cp:keywords/>
  <dc:language>en-US</dc:language>
  <cp:lastModifiedBy>Туренко Кристина Армановна</cp:lastModifiedBy>
  <dcterms:modified xsi:type="dcterms:W3CDTF">2024-03-19T11:23:00Z</dcterms:modified>
  <cp:revision>2</cp:revision>
  <dc:subject/>
  <dc:title>PDWordRequest</dc:title>
</cp:coreProperties>
</file>